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23 104 vom 4. August 2025</w:t>
      </w:r>
    </w:p>
    <w:p>
      <w:r>
        <w:t>VS Kantonsgericht, 2025-08-04, FR</w:t>
      </w:r>
    </w:p>
    <w:p>
      <w:r>
        <w:rPr>
          <w:b/>
        </w:rPr>
        <w:t xml:space="preserve">Quelle: </w:t>
      </w:r>
      <w:r>
        <w:t>https://mcp.opencaselaw.ch/entscheid/vs_gerichte_S2 23 104</w:t>
      </w:r>
    </w:p>
    <w:p>
      <w:r>
        <w:t>FR: VS_GERICHTE S2 23 104 du 4 août 2025</w:t>
      </w:r>
    </w:p>
    <w:p>
      <w:r>
        <w:t>IT: VS_GERICHTE S2 23 104 del 4 agosto 2025</w:t>
      </w:r>
    </w:p>
    <w:p>
      <w:pPr>
        <w:pStyle w:val="Heading2"/>
      </w:pPr>
      <w:r>
        <w:t>Regeste</w:t>
      </w:r>
    </w:p>
    <w:p>
      <w:r>
        <w:t>S2 23 104 ARRÊT DU 4 AOÛT 2025 Tribunal cantonal du Valais Cour des assurances sociales Composition : Candido Prada, président ; Christophe Joris et Dr Thierry Schnyder, juges ; Mireille Allegro, greffière en la cause X _________, recourant, représenté par Maître Philippe Loretan, avocat, à Sion contre ZURICH COMPAGNIE D'ASSURANCES SA, intimée (fin des indemnités journalières ; statu quo sine vel 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27 novembre 2023, le présent recours contre la décision sur opposition du 26 octobre précédent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dont les déchirures du ménisque (let. c), pour autant qu’elles ne soient pas dues de manière prépondérante à l’usure ou à une maladie.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w:t>
      </w:r>
    </w:p>
    <w:p>
      <w:r>
        <w:t>- 9 -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w:t>
      </w:r>
    </w:p>
    <w:p>
      <w:r>
        <w:t>- 10 -</w:t>
      </w:r>
    </w:p>
    <w:p>
      <w:r>
        <w:rPr>
          <w:b/>
        </w:rPr>
        <w:t>E. 2.2</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w:t>
      </w:r>
    </w:p>
    <w:p>
      <w:r>
        <w:t>- 11 - 23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 139 V 225 consid. 5.2 et 135 V 465 consid. 4.6 ; arrêt du Tribunal fédéral 9C_108/2011 du 24 octobre 2011 consid. 2.2).</w:t>
      </w:r>
    </w:p>
    <w:p>
      <w:r>
        <w:rPr>
          <w:b/>
        </w:rPr>
        <w:t>E. 3</w:t>
      </w:r>
    </w:p>
    <w:p>
      <w:r>
        <w:t>Dans le cas d’espèce, l’intimée a mis un terme à ses prestations au 12 juin 2021 (sans toutefois réclamer les prestations versées jusqu’au 31 août 2022), au motif qu’elle estimait que les troubles persistants à l’épaule droite après cette date n’étaient plus en lien de causalité avec l’accident du 12 février 2021, qui n’avait fait que déstabiliser temporairement un état préexistant.</w:t>
      </w:r>
    </w:p>
    <w:p>
      <w:r>
        <w:rPr>
          <w:b/>
        </w:rPr>
        <w:t>E. 3.1</w:t>
      </w:r>
    </w:p>
    <w:p>
      <w:r>
        <w:t>L’intimée s’est essentiellement fondée sur les conclusions de son médecin-conseil le Dr E _________. Contrairement à ce que prétend le recourant, le Tribunal constate que ce dernier a pris position en se fondant sur le dossier médical complet de l’assuré, y compris radiologique, et tous les rapports de la consultation orthopédique tenant</w:t>
      </w:r>
    </w:p>
    <w:p>
      <w:r>
        <w:t>- 12 - compte de l’anamnèse, et non pas uniquement sur la base du seul rapport du Dr D _________ d’octobre 2021. Il ressort des documents radiologiques du dossier que la radiographie réalisée le 2 mars 2021 n’a pas montré de lésion osseuse traumatique, mais des signes de tendinopathie chronique au trochiter huméral, ainsi qu’une omarthrose a minima. Par la suite, si l’IRM du 27 mai 2021 n’a effectivement pas pu exclure une fracture au niveau de la glène postérieure « en cours de consolidation », le radiologue a toutefois indiqué qu’il pouvait s’agir de remaniements dégénératifs dans un contexte de micro-instabilité gléno- humérale. A cet égard, le CT-scan réalisé le 7 juin 2021 a conclu à l’absence de lésion traumatique aiguë et à la présence de remaniements d’allure séquellaire du bord postérieur de la glène avec une ancienne fracture avulsion du bord postéro-supérieur et une géode sous-chondrale postéro-inférieure. Au vu de ces éléments, le Dr E _________ a estimé que l’assuré présentait déjà une lésion au niveau de la glène avant son accident de février 2021, lequel n’avait fait qu’aggraver temporairement un état préexistant, qui aurait de toute façon évolué de la sorte. Il a expliqué que la géode sous-chondrale postéro-inférieure était un signe que la lésion, c’est-à-dire la fracture avulsion du bord postéro-supérieur de la glène, datait de plusieurs mois. D’ailleurs, dans ses rapports et notamment celui du 28 novembre 2023, le Dr C _________ qui a opéré l’assuré a retenu une instabilité postérieure de l’épaule associée à une omarthrose sur dysplasie de la glène « décompensée » par une chute le 12 février 2021. La radiographie réalisée quelques jours après l’accident montrait en effet déjà une omarthrose a minima, soit une dégénérescence du cartilage de l’articulation gléno-humérale, ainsi qu’une tendinopathie. Des infiltrations ont en outre été réalisées en mars 2021 pour une capsulite rétractile et une arthropathie de l’articulation acromio-claviculaire, soit une usure du cartilage, qui ne peut apparaître en quelques semaines (pièce 33). Ainsi, la position du Dr E _________, qui a considéré que l’accident n’avait pas provoqué de nouvelle lésion propre, mais n’avait fait que déstabiliser un état préexistant, n’apparaît pas critiquable.</w:t>
      </w:r>
    </w:p>
    <w:p>
      <w:r>
        <w:rPr>
          <w:b/>
        </w:rPr>
        <w:t>E. 3.2</w:t>
      </w:r>
    </w:p>
    <w:p>
      <w:r>
        <w:t>Contrairement à ce que prétend le recourant, la Cour estime que l’avis du Dr D _________ du 8 janvier 2024 n’est pas de nature à mettre en doute les conclusions du médecin-conseil. En effet, comme l’ont relevé l’intimée et le Dr E _________, dans ce rapport, le médecin traitant revient sur son appréciation d’octobre 2021, sans apporter aucune justification à ce revirement. Produit au stade de la réplique, après que l’intimée ait remarqué qu’il</w:t>
      </w:r>
    </w:p>
    <w:p>
      <w:r>
        <w:t>- 13 - n’existait aucun rapport médical contestant l’avis du médecin-conseil, ce nouveau rapport du Dr D _________ a manifestement été établi pour les besoins de la cause. Alors qu’en octobre 2021, le médecin traitant indiquait que l’ancienne lésion mise en évidence au scanner (à savoir la fracture avulsion du bord de la glène) ne semblait pas être en rapport avec le traumatisme du mois de février de la même année, il estime dorénavant que cette dernière peut parfaitement s’être consolidée en quatre mois. Alors qu’il se réfère à la littérature médicale, il ne cite toutefois aucun ouvrage ni article médical spécifique à l’appui de son propos. Il n’avance pas d’argument médical particulier, ni ne prétend qu’il n’avait pas toutes les pièces à sa disposition avant cela. Il reprend en outre des passages d’un rapport du Dr C _________ en y ajoutant des mentions n’y figurant pas afin d’appuyer sa position. Cette manière de procéder enlève toute valeur probante à son appréciation (lien de confiance inhérent à un mandat thérapeutique : ATF 125 V 351 consid. 3a).</w:t>
      </w:r>
    </w:p>
    <w:p>
      <w:r>
        <w:rPr>
          <w:b/>
        </w:rPr>
        <w:t>E. 3.3</w:t>
      </w:r>
    </w:p>
    <w:p>
      <w:r>
        <w:t>En définitive, en l’absence de rapport médical contraire et d’une valeur probante prépondérante à celui du Dr E _________, il n’y a pas lieu de mettre en œuvre une expertise. Par ailleurs, l’état de fait étant clair, il ne se justifie pas de procéder à l’audition des Drs C _________ et D _________, dont on ne voit pas ce qu’ils pourraient rajouter à leurs rapports respectifs des 28 novembre 2023 et 8 janvier 2024 (appréciation anticipée des preuves : ATF 147 I 167).</w:t>
      </w:r>
    </w:p>
    <w:p>
      <w:r>
        <w:rPr>
          <w:b/>
        </w:rPr>
        <w:t>E. 3.4</w:t>
      </w:r>
    </w:p>
    <w:p>
      <w:r>
        <w:t>Au vu de ces éléments, c’est à juste titre que l’intimée a considéré que l’accident ne jouait plus de rôle dans les troubles à l’épaule droite du recourant au-delà du 12 juin 2021 et qu’elle a mis fin à ses prestations au 31 août 2022.</w:t>
      </w:r>
    </w:p>
    <w:p>
      <w:r>
        <w:rPr>
          <w:b/>
        </w:rPr>
        <w:t>E. 4</w:t>
      </w:r>
    </w:p>
    <w:p>
      <w:r>
        <w:t>Il n’est pas perçu de frais (art. 61 let. fbis LPGA), la loi spéciale, en l’occurrence la LAA, ne prévoyant pas le prélèvement de frais. Vu l’issue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